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5EE36D" w14:textId="77777777" w:rsidR="007D79A3" w:rsidRPr="007D79A3" w:rsidRDefault="007D79A3" w:rsidP="007D79A3">
      <w:pPr>
        <w:spacing w:after="0" w:line="480" w:lineRule="auto"/>
        <w:rPr>
          <w:rFonts w:ascii="Times New Roman" w:hAnsi="Times New Roman" w:cs="Times New Roman"/>
          <w:sz w:val="24"/>
        </w:rPr>
      </w:pPr>
      <w:r w:rsidRPr="007D79A3">
        <w:rPr>
          <w:rFonts w:ascii="Times New Roman" w:hAnsi="Times New Roman" w:cs="Times New Roman"/>
          <w:sz w:val="24"/>
        </w:rPr>
        <w:t>Student’s Name</w:t>
      </w:r>
    </w:p>
    <w:p w14:paraId="3F47AE9B" w14:textId="77777777" w:rsidR="007D79A3" w:rsidRPr="007D79A3" w:rsidRDefault="007D79A3" w:rsidP="007D79A3">
      <w:pPr>
        <w:spacing w:after="0" w:line="480" w:lineRule="auto"/>
        <w:rPr>
          <w:rFonts w:ascii="Times New Roman" w:hAnsi="Times New Roman" w:cs="Times New Roman"/>
          <w:sz w:val="24"/>
        </w:rPr>
      </w:pPr>
      <w:r w:rsidRPr="007D79A3">
        <w:rPr>
          <w:rFonts w:ascii="Times New Roman" w:hAnsi="Times New Roman" w:cs="Times New Roman"/>
          <w:sz w:val="24"/>
        </w:rPr>
        <w:t>Professor’s Name</w:t>
      </w:r>
    </w:p>
    <w:p w14:paraId="3C023A43" w14:textId="77777777" w:rsidR="007D79A3" w:rsidRPr="007D79A3" w:rsidRDefault="007D79A3" w:rsidP="007D79A3">
      <w:pPr>
        <w:spacing w:after="0" w:line="480" w:lineRule="auto"/>
        <w:rPr>
          <w:rFonts w:ascii="Times New Roman" w:hAnsi="Times New Roman" w:cs="Times New Roman"/>
          <w:sz w:val="24"/>
        </w:rPr>
      </w:pPr>
      <w:r w:rsidRPr="007D79A3">
        <w:rPr>
          <w:rFonts w:ascii="Times New Roman" w:hAnsi="Times New Roman" w:cs="Times New Roman"/>
          <w:sz w:val="24"/>
        </w:rPr>
        <w:t>Course Code</w:t>
      </w:r>
    </w:p>
    <w:p w14:paraId="3C8200E5" w14:textId="77777777" w:rsidR="007D79A3" w:rsidRPr="007D79A3" w:rsidRDefault="007D79A3" w:rsidP="007D79A3">
      <w:pPr>
        <w:spacing w:after="0" w:line="480" w:lineRule="auto"/>
        <w:rPr>
          <w:rFonts w:ascii="Times New Roman" w:hAnsi="Times New Roman" w:cs="Times New Roman"/>
          <w:sz w:val="24"/>
        </w:rPr>
      </w:pPr>
      <w:r w:rsidRPr="007D79A3">
        <w:rPr>
          <w:rFonts w:ascii="Times New Roman" w:hAnsi="Times New Roman" w:cs="Times New Roman"/>
          <w:sz w:val="24"/>
        </w:rPr>
        <w:t>Date</w:t>
      </w:r>
    </w:p>
    <w:p w14:paraId="7EB6D9D3" w14:textId="594A3EC2" w:rsidR="007D4BD7" w:rsidRPr="007D4BD7" w:rsidRDefault="007D4BD7" w:rsidP="007D4BD7">
      <w:pPr>
        <w:spacing w:after="0" w:line="480" w:lineRule="auto"/>
        <w:ind w:firstLine="720"/>
        <w:jc w:val="center"/>
        <w:rPr>
          <w:rFonts w:ascii="Times New Roman" w:hAnsi="Times New Roman" w:cs="Times New Roman"/>
          <w:iCs/>
          <w:color w:val="1B1B1B"/>
          <w:sz w:val="24"/>
          <w:szCs w:val="24"/>
          <w:shd w:val="clear" w:color="auto" w:fill="FFFFFF"/>
        </w:rPr>
      </w:pPr>
      <w:r w:rsidRPr="007D4BD7">
        <w:rPr>
          <w:rFonts w:ascii="Times New Roman" w:hAnsi="Times New Roman" w:cs="Times New Roman"/>
          <w:iCs/>
          <w:sz w:val="24"/>
          <w:szCs w:val="24"/>
        </w:rPr>
        <w:t xml:space="preserve">A Raising </w:t>
      </w:r>
      <w:r w:rsidRPr="007D4BD7">
        <w:rPr>
          <w:rFonts w:ascii="Times New Roman" w:hAnsi="Times New Roman" w:cs="Times New Roman"/>
          <w:iCs/>
          <w:sz w:val="24"/>
          <w:szCs w:val="24"/>
        </w:rPr>
        <w:t xml:space="preserve">in The Sun: </w:t>
      </w:r>
      <w:r w:rsidRPr="007D4BD7">
        <w:rPr>
          <w:rFonts w:ascii="Times New Roman" w:hAnsi="Times New Roman" w:cs="Times New Roman"/>
          <w:iCs/>
          <w:color w:val="1B1B1B"/>
          <w:sz w:val="24"/>
          <w:szCs w:val="24"/>
          <w:shd w:val="clear" w:color="auto" w:fill="FFFFFF"/>
        </w:rPr>
        <w:t>Impacts of Minor Characters</w:t>
      </w:r>
    </w:p>
    <w:p w14:paraId="626921E3" w14:textId="780BFB5B" w:rsidR="0001012F" w:rsidRPr="007D79A3" w:rsidRDefault="009871BA" w:rsidP="007D79A3">
      <w:pPr>
        <w:spacing w:after="0" w:line="480" w:lineRule="auto"/>
        <w:ind w:firstLine="720"/>
        <w:rPr>
          <w:rFonts w:ascii="Times New Roman" w:hAnsi="Times New Roman" w:cs="Times New Roman"/>
          <w:sz w:val="24"/>
        </w:rPr>
      </w:pPr>
      <w:r w:rsidRPr="007D79A3">
        <w:rPr>
          <w:rFonts w:ascii="Times New Roman" w:hAnsi="Times New Roman" w:cs="Times New Roman"/>
          <w:i/>
          <w:sz w:val="24"/>
        </w:rPr>
        <w:t xml:space="preserve">A Raising in the Sun </w:t>
      </w:r>
      <w:r w:rsidRPr="007D79A3">
        <w:rPr>
          <w:rFonts w:ascii="Times New Roman" w:hAnsi="Times New Roman" w:cs="Times New Roman"/>
          <w:sz w:val="24"/>
        </w:rPr>
        <w:t xml:space="preserve">is a realist dramatic play by Lorraine Hansberry set in the South Side of Chicago. The setting accounts for </w:t>
      </w:r>
      <w:r w:rsidR="0001012F" w:rsidRPr="007D79A3">
        <w:rPr>
          <w:rFonts w:ascii="Times New Roman" w:hAnsi="Times New Roman" w:cs="Times New Roman"/>
          <w:sz w:val="24"/>
        </w:rPr>
        <w:t xml:space="preserve">largely n African American community follow the end of World War II up until 1959. The play sets up Walter Lee Younger as the main protagonist, from a working-class family that endures racial prejudice and economic hardships. As a dreamer Walter start out strategizing on means to be rich but ends up deeply involved in finding solutions to the problems facing the family. The flow of the plot also involves minor characters apart from the Younger family, each of whom has a significant role in the play. The impact of minor characters is no less significant than that of major characters. </w:t>
      </w:r>
    </w:p>
    <w:p w14:paraId="7645F35A" w14:textId="0FE064F8" w:rsidR="0001012F" w:rsidRPr="007D79A3" w:rsidRDefault="0001012F" w:rsidP="007D79A3">
      <w:pPr>
        <w:spacing w:after="0" w:line="480" w:lineRule="auto"/>
        <w:ind w:firstLine="720"/>
        <w:rPr>
          <w:rFonts w:ascii="Times New Roman" w:hAnsi="Times New Roman" w:cs="Times New Roman"/>
          <w:sz w:val="24"/>
        </w:rPr>
      </w:pPr>
      <w:r w:rsidRPr="007D79A3">
        <w:rPr>
          <w:rFonts w:ascii="Times New Roman" w:hAnsi="Times New Roman" w:cs="Times New Roman"/>
          <w:sz w:val="24"/>
        </w:rPr>
        <w:t xml:space="preserve">Joseph Asagai is one such minor character, an African descendant from Nigeria </w:t>
      </w:r>
      <w:r w:rsidR="00221536" w:rsidRPr="007D79A3">
        <w:rPr>
          <w:rFonts w:ascii="Times New Roman" w:hAnsi="Times New Roman" w:cs="Times New Roman"/>
          <w:sz w:val="24"/>
        </w:rPr>
        <w:t xml:space="preserve">with romantic intentions for Beneatha – Walter’s sister. Beneatha admires how much pride Asagai has for his African heritage, and seeks to learn more from him in the same. The most significant role for Asagai is in making Beneatha comprehend that she only enjoys the allure of independence, but has no such thing in reality. One scene where he invokes Beneatha to question herself is when he refers to her hair as mutilated in </w:t>
      </w:r>
      <w:r w:rsidR="007D79A3" w:rsidRPr="007D79A3">
        <w:rPr>
          <w:rFonts w:ascii="Times New Roman" w:hAnsi="Times New Roman" w:cs="Times New Roman"/>
          <w:sz w:val="24"/>
        </w:rPr>
        <w:t>(Hansberry</w:t>
      </w:r>
      <w:r w:rsidR="007D4BD7">
        <w:rPr>
          <w:rFonts w:ascii="Times New Roman" w:hAnsi="Times New Roman" w:cs="Times New Roman"/>
          <w:sz w:val="24"/>
        </w:rPr>
        <w:t xml:space="preserve"> </w:t>
      </w:r>
      <w:r w:rsidR="007D79A3" w:rsidRPr="007D79A3">
        <w:rPr>
          <w:rFonts w:ascii="Times New Roman" w:hAnsi="Times New Roman" w:cs="Times New Roman"/>
          <w:sz w:val="24"/>
        </w:rPr>
        <w:t>61)</w:t>
      </w:r>
      <w:r w:rsidR="00221536" w:rsidRPr="007D79A3">
        <w:rPr>
          <w:rFonts w:ascii="Times New Roman" w:hAnsi="Times New Roman" w:cs="Times New Roman"/>
          <w:sz w:val="24"/>
        </w:rPr>
        <w:t xml:space="preserve">. His intent is to make her acknowledge that the hairstyle only makes her assimilate to a society that will not do the same. Asagai, however, still compliments the same hair when Beneatha dons the traditional Nigerian </w:t>
      </w:r>
      <w:r w:rsidR="007D4BD7" w:rsidRPr="007D79A3">
        <w:rPr>
          <w:rFonts w:ascii="Times New Roman" w:hAnsi="Times New Roman" w:cs="Times New Roman"/>
          <w:sz w:val="24"/>
        </w:rPr>
        <w:t>robes,</w:t>
      </w:r>
      <w:r w:rsidR="00221536" w:rsidRPr="007D79A3">
        <w:rPr>
          <w:rFonts w:ascii="Times New Roman" w:hAnsi="Times New Roman" w:cs="Times New Roman"/>
          <w:sz w:val="24"/>
        </w:rPr>
        <w:t xml:space="preserve"> he gifts her</w:t>
      </w:r>
      <w:r w:rsidR="007D4BD7">
        <w:rPr>
          <w:rFonts w:ascii="Times New Roman" w:hAnsi="Times New Roman" w:cs="Times New Roman"/>
          <w:sz w:val="24"/>
        </w:rPr>
        <w:t xml:space="preserve"> </w:t>
      </w:r>
      <w:r w:rsidR="007D79A3" w:rsidRPr="007D79A3">
        <w:rPr>
          <w:rFonts w:ascii="Times New Roman" w:hAnsi="Times New Roman" w:cs="Times New Roman"/>
          <w:sz w:val="24"/>
        </w:rPr>
        <w:t>(Hansberry62)</w:t>
      </w:r>
      <w:r w:rsidR="00221536" w:rsidRPr="007D79A3">
        <w:rPr>
          <w:rFonts w:ascii="Times New Roman" w:hAnsi="Times New Roman" w:cs="Times New Roman"/>
          <w:sz w:val="24"/>
        </w:rPr>
        <w:t xml:space="preserve">. </w:t>
      </w:r>
      <w:r w:rsidR="00F15E08" w:rsidRPr="007D79A3">
        <w:rPr>
          <w:rFonts w:ascii="Times New Roman" w:hAnsi="Times New Roman" w:cs="Times New Roman"/>
          <w:sz w:val="24"/>
        </w:rPr>
        <w:t>Asagai also refers to Beneatha as ‘</w:t>
      </w:r>
      <w:proofErr w:type="spellStart"/>
      <w:r w:rsidR="00F15E08" w:rsidRPr="007D79A3">
        <w:rPr>
          <w:rFonts w:ascii="Times New Roman" w:hAnsi="Times New Roman" w:cs="Times New Roman"/>
          <w:i/>
          <w:sz w:val="24"/>
        </w:rPr>
        <w:t>Alaiyo</w:t>
      </w:r>
      <w:proofErr w:type="spellEnd"/>
      <w:r w:rsidR="00F15E08" w:rsidRPr="007D79A3">
        <w:rPr>
          <w:rFonts w:ascii="Times New Roman" w:hAnsi="Times New Roman" w:cs="Times New Roman"/>
          <w:i/>
          <w:sz w:val="24"/>
        </w:rPr>
        <w:t xml:space="preserve">’ </w:t>
      </w:r>
      <w:r w:rsidR="00F15E08" w:rsidRPr="007D79A3">
        <w:rPr>
          <w:rFonts w:ascii="Times New Roman" w:hAnsi="Times New Roman" w:cs="Times New Roman"/>
          <w:sz w:val="24"/>
        </w:rPr>
        <w:t>which is her Yoruba nickname</w:t>
      </w:r>
      <w:r w:rsidR="007D79A3" w:rsidRPr="007D79A3">
        <w:rPr>
          <w:rFonts w:ascii="Times New Roman" w:hAnsi="Times New Roman" w:cs="Times New Roman"/>
          <w:sz w:val="24"/>
        </w:rPr>
        <w:t xml:space="preserve"> (Hansberry</w:t>
      </w:r>
      <w:r w:rsidR="007D4BD7">
        <w:rPr>
          <w:rFonts w:ascii="Times New Roman" w:hAnsi="Times New Roman" w:cs="Times New Roman"/>
          <w:sz w:val="24"/>
        </w:rPr>
        <w:t xml:space="preserve"> </w:t>
      </w:r>
      <w:r w:rsidR="007D79A3" w:rsidRPr="007D79A3">
        <w:rPr>
          <w:rFonts w:ascii="Times New Roman" w:hAnsi="Times New Roman" w:cs="Times New Roman"/>
          <w:sz w:val="24"/>
        </w:rPr>
        <w:t>60)</w:t>
      </w:r>
      <w:r w:rsidR="00F15E08" w:rsidRPr="007D79A3">
        <w:rPr>
          <w:rFonts w:ascii="Times New Roman" w:hAnsi="Times New Roman" w:cs="Times New Roman"/>
          <w:sz w:val="24"/>
        </w:rPr>
        <w:t xml:space="preserve">. </w:t>
      </w:r>
    </w:p>
    <w:p w14:paraId="7495C77E" w14:textId="289DA531" w:rsidR="00F15E08" w:rsidRPr="007D79A3" w:rsidRDefault="00F15E08" w:rsidP="007D79A3">
      <w:pPr>
        <w:spacing w:after="0" w:line="480" w:lineRule="auto"/>
        <w:ind w:firstLine="720"/>
        <w:rPr>
          <w:rFonts w:ascii="Times New Roman" w:hAnsi="Times New Roman" w:cs="Times New Roman"/>
          <w:sz w:val="24"/>
        </w:rPr>
      </w:pPr>
      <w:r w:rsidRPr="007D79A3">
        <w:rPr>
          <w:rFonts w:ascii="Times New Roman" w:hAnsi="Times New Roman" w:cs="Times New Roman"/>
          <w:sz w:val="24"/>
        </w:rPr>
        <w:lastRenderedPageBreak/>
        <w:t xml:space="preserve">George Murchison is another minor character who I the complete opposite of Asagai, notably in the need for not assimilating to the White culture. He is also a love interest for Beneatha. Though the Younger family approve of him, she never expresses strong interest in him. George is good-looking, from a well-to-do black family, presented in the play as shallow and conceited. He is arrogant and forgets his African heritage mocking other Black </w:t>
      </w:r>
      <w:r w:rsidR="00461D50" w:rsidRPr="007D79A3">
        <w:rPr>
          <w:rFonts w:ascii="Times New Roman" w:hAnsi="Times New Roman" w:cs="Times New Roman"/>
          <w:sz w:val="24"/>
        </w:rPr>
        <w:t>Americans. He demonstrates the same and a lack of concern for Beneatha’s intellect when he commands her to wear properly for their date referring to the African Garb she had on. The comment leads to a confrontation where Beneatha calls George an ‘assimilationist’ Negro, and he refers to the African heritage as a, ‘bunch of raggedy-assed spirituals and some grass huts”</w:t>
      </w:r>
      <w:r w:rsidR="007D79A3" w:rsidRPr="007D79A3">
        <w:rPr>
          <w:rFonts w:ascii="Times New Roman" w:hAnsi="Times New Roman" w:cs="Times New Roman"/>
          <w:sz w:val="24"/>
        </w:rPr>
        <w:t xml:space="preserve"> (Hansberry</w:t>
      </w:r>
      <w:r w:rsidR="007D4BD7">
        <w:rPr>
          <w:rFonts w:ascii="Times New Roman" w:hAnsi="Times New Roman" w:cs="Times New Roman"/>
          <w:sz w:val="24"/>
        </w:rPr>
        <w:t xml:space="preserve"> </w:t>
      </w:r>
      <w:r w:rsidR="007D79A3" w:rsidRPr="007D79A3">
        <w:rPr>
          <w:rFonts w:ascii="Times New Roman" w:hAnsi="Times New Roman" w:cs="Times New Roman"/>
          <w:sz w:val="24"/>
        </w:rPr>
        <w:t>82).</w:t>
      </w:r>
      <w:r w:rsidR="00461D50" w:rsidRPr="007D79A3">
        <w:rPr>
          <w:rFonts w:ascii="Times New Roman" w:hAnsi="Times New Roman" w:cs="Times New Roman"/>
          <w:sz w:val="24"/>
        </w:rPr>
        <w:t xml:space="preserve"> The play presents the character in an unlikeable manner in favor of fighting racial discrimination as opposed to assimilating. </w:t>
      </w:r>
    </w:p>
    <w:p w14:paraId="31131A18" w14:textId="78ABF419" w:rsidR="00461D50" w:rsidRPr="007D79A3" w:rsidRDefault="00461D50" w:rsidP="007D79A3">
      <w:pPr>
        <w:spacing w:after="0" w:line="480" w:lineRule="auto"/>
        <w:ind w:firstLine="720"/>
        <w:rPr>
          <w:rFonts w:ascii="Times New Roman" w:hAnsi="Times New Roman" w:cs="Times New Roman"/>
          <w:sz w:val="24"/>
        </w:rPr>
      </w:pPr>
      <w:r w:rsidRPr="007D79A3">
        <w:rPr>
          <w:rFonts w:ascii="Times New Roman" w:hAnsi="Times New Roman" w:cs="Times New Roman"/>
          <w:sz w:val="24"/>
        </w:rPr>
        <w:t xml:space="preserve">Willy Harris is another minor character that never sets foot on stage. The decision by the author helps centralize the play to only the Younger family. </w:t>
      </w:r>
      <w:r w:rsidR="00FB0048" w:rsidRPr="007D79A3">
        <w:rPr>
          <w:rFonts w:ascii="Times New Roman" w:hAnsi="Times New Roman" w:cs="Times New Roman"/>
          <w:sz w:val="24"/>
        </w:rPr>
        <w:t xml:space="preserve">Walter’s spouse never trusts him fully, despite serving as Walter’s business partner. In the end, he swindles Bobo and Walter of their investment n a proposal for a liquor store. The ‘good-for-nothing loudmouth’ leaves Walter in financial despair, but drives the intent of the play to put significance on family. </w:t>
      </w:r>
      <w:r w:rsidR="000E58F2" w:rsidRPr="007D79A3">
        <w:rPr>
          <w:rFonts w:ascii="Times New Roman" w:hAnsi="Times New Roman" w:cs="Times New Roman"/>
          <w:sz w:val="24"/>
        </w:rPr>
        <w:t>The author makes the context clear in a switch of interest by the main protagonist from one willing to do away with moral distinctions at the sake of ambitions to be ‘taker’, to a family man looking for means to resolve the tribulations the family endures</w:t>
      </w:r>
      <w:r w:rsidR="007D79A3" w:rsidRPr="007D79A3">
        <w:rPr>
          <w:rFonts w:ascii="Times New Roman" w:hAnsi="Times New Roman" w:cs="Times New Roman"/>
          <w:sz w:val="24"/>
        </w:rPr>
        <w:t xml:space="preserve"> (Hansberry</w:t>
      </w:r>
      <w:r w:rsidR="007D4BD7">
        <w:rPr>
          <w:rFonts w:ascii="Times New Roman" w:hAnsi="Times New Roman" w:cs="Times New Roman"/>
          <w:sz w:val="24"/>
        </w:rPr>
        <w:t xml:space="preserve"> </w:t>
      </w:r>
      <w:r w:rsidR="007D79A3" w:rsidRPr="007D79A3">
        <w:rPr>
          <w:rFonts w:ascii="Times New Roman" w:hAnsi="Times New Roman" w:cs="Times New Roman"/>
          <w:sz w:val="24"/>
        </w:rPr>
        <w:t>121)</w:t>
      </w:r>
      <w:r w:rsidR="000E58F2" w:rsidRPr="007D79A3">
        <w:rPr>
          <w:rFonts w:ascii="Times New Roman" w:hAnsi="Times New Roman" w:cs="Times New Roman"/>
          <w:sz w:val="24"/>
        </w:rPr>
        <w:t xml:space="preserve">. </w:t>
      </w:r>
    </w:p>
    <w:p w14:paraId="44DCE528" w14:textId="77777777" w:rsidR="007D79A3" w:rsidRPr="007D79A3" w:rsidRDefault="000E58F2" w:rsidP="007D79A3">
      <w:pPr>
        <w:spacing w:after="0" w:line="480" w:lineRule="auto"/>
        <w:ind w:firstLine="720"/>
        <w:rPr>
          <w:rFonts w:ascii="Times New Roman" w:hAnsi="Times New Roman" w:cs="Times New Roman"/>
          <w:sz w:val="24"/>
        </w:rPr>
      </w:pPr>
      <w:r w:rsidRPr="007D79A3">
        <w:rPr>
          <w:rFonts w:ascii="Times New Roman" w:hAnsi="Times New Roman" w:cs="Times New Roman"/>
          <w:sz w:val="24"/>
        </w:rPr>
        <w:t xml:space="preserve">The minor characters have a significant role to play in the growth of the major characters and also and in better communicating the play’s themes to the audience. Even the lack of visibility of the character to the audience does not hinder completion of their duties. </w:t>
      </w:r>
    </w:p>
    <w:p w14:paraId="69501296" w14:textId="77777777" w:rsidR="007D79A3" w:rsidRPr="007D79A3" w:rsidRDefault="007D79A3" w:rsidP="007D79A3">
      <w:pPr>
        <w:spacing w:after="0" w:line="480" w:lineRule="auto"/>
        <w:rPr>
          <w:rFonts w:ascii="Times New Roman" w:hAnsi="Times New Roman" w:cs="Times New Roman"/>
          <w:sz w:val="24"/>
        </w:rPr>
      </w:pPr>
      <w:r w:rsidRPr="007D79A3">
        <w:rPr>
          <w:rFonts w:ascii="Times New Roman" w:hAnsi="Times New Roman" w:cs="Times New Roman"/>
          <w:sz w:val="24"/>
        </w:rPr>
        <w:br w:type="page"/>
      </w:r>
    </w:p>
    <w:p w14:paraId="3FE5E347" w14:textId="77777777" w:rsidR="000E58F2" w:rsidRPr="007D79A3" w:rsidRDefault="007D79A3" w:rsidP="007D79A3">
      <w:pPr>
        <w:spacing w:after="0" w:line="480" w:lineRule="auto"/>
        <w:jc w:val="center"/>
        <w:rPr>
          <w:rFonts w:ascii="Times New Roman" w:hAnsi="Times New Roman" w:cs="Times New Roman"/>
          <w:sz w:val="24"/>
        </w:rPr>
      </w:pPr>
      <w:r w:rsidRPr="007D79A3">
        <w:rPr>
          <w:rFonts w:ascii="Times New Roman" w:hAnsi="Times New Roman" w:cs="Times New Roman"/>
          <w:sz w:val="24"/>
        </w:rPr>
        <w:lastRenderedPageBreak/>
        <w:t>Works Cited</w:t>
      </w:r>
    </w:p>
    <w:p w14:paraId="714CEC03" w14:textId="77777777" w:rsidR="007D79A3" w:rsidRPr="007D79A3" w:rsidRDefault="007D79A3" w:rsidP="007D79A3">
      <w:pPr>
        <w:spacing w:after="0" w:line="480" w:lineRule="auto"/>
        <w:ind w:left="720" w:hanging="720"/>
        <w:rPr>
          <w:rFonts w:ascii="Times New Roman" w:hAnsi="Times New Roman" w:cs="Times New Roman"/>
          <w:sz w:val="24"/>
        </w:rPr>
      </w:pPr>
      <w:r w:rsidRPr="007D79A3">
        <w:rPr>
          <w:rFonts w:ascii="Times New Roman" w:hAnsi="Times New Roman" w:cs="Times New Roman"/>
          <w:color w:val="222222"/>
          <w:sz w:val="24"/>
          <w:shd w:val="clear" w:color="auto" w:fill="FFFFFF"/>
        </w:rPr>
        <w:t>Hansberry, Lorraine. </w:t>
      </w:r>
      <w:r w:rsidRPr="007D79A3">
        <w:rPr>
          <w:rFonts w:ascii="Times New Roman" w:hAnsi="Times New Roman" w:cs="Times New Roman"/>
          <w:i/>
          <w:iCs/>
          <w:color w:val="222222"/>
          <w:sz w:val="24"/>
          <w:shd w:val="clear" w:color="auto" w:fill="FFFFFF"/>
        </w:rPr>
        <w:t>Lorraine Hansberry's A Raisin in the Sun</w:t>
      </w:r>
      <w:r w:rsidRPr="007D79A3">
        <w:rPr>
          <w:rFonts w:ascii="Times New Roman" w:hAnsi="Times New Roman" w:cs="Times New Roman"/>
          <w:color w:val="222222"/>
          <w:sz w:val="24"/>
          <w:shd w:val="clear" w:color="auto" w:fill="FFFFFF"/>
        </w:rPr>
        <w:t>. Samuel French, Inc., 1984.</w:t>
      </w:r>
    </w:p>
    <w:sectPr w:rsidR="007D79A3" w:rsidRPr="007D79A3" w:rsidSect="00427D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4BC53" w14:textId="77777777" w:rsidR="0093676D" w:rsidRDefault="0093676D" w:rsidP="007D79A3">
      <w:pPr>
        <w:spacing w:after="0" w:line="240" w:lineRule="auto"/>
      </w:pPr>
      <w:r>
        <w:separator/>
      </w:r>
    </w:p>
  </w:endnote>
  <w:endnote w:type="continuationSeparator" w:id="0">
    <w:p w14:paraId="3EFE0944" w14:textId="77777777" w:rsidR="0093676D" w:rsidRDefault="0093676D" w:rsidP="007D7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543230" w14:textId="77777777" w:rsidR="0093676D" w:rsidRDefault="0093676D" w:rsidP="007D79A3">
      <w:pPr>
        <w:spacing w:after="0" w:line="240" w:lineRule="auto"/>
      </w:pPr>
      <w:r>
        <w:separator/>
      </w:r>
    </w:p>
  </w:footnote>
  <w:footnote w:type="continuationSeparator" w:id="0">
    <w:p w14:paraId="30298BEF" w14:textId="77777777" w:rsidR="0093676D" w:rsidRDefault="0093676D" w:rsidP="007D7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ACA07" w14:textId="77777777" w:rsidR="007D79A3" w:rsidRPr="007D79A3" w:rsidRDefault="007D79A3">
    <w:pPr>
      <w:pStyle w:val="Header"/>
      <w:jc w:val="right"/>
      <w:rPr>
        <w:rFonts w:ascii="Times New Roman" w:hAnsi="Times New Roman" w:cs="Times New Roman"/>
        <w:sz w:val="24"/>
      </w:rPr>
    </w:pPr>
    <w:r w:rsidRPr="007D79A3">
      <w:rPr>
        <w:rFonts w:ascii="Times New Roman" w:hAnsi="Times New Roman" w:cs="Times New Roman"/>
        <w:sz w:val="24"/>
      </w:rPr>
      <w:t>Last Name</w:t>
    </w:r>
    <w:sdt>
      <w:sdtPr>
        <w:rPr>
          <w:rFonts w:ascii="Times New Roman" w:hAnsi="Times New Roman" w:cs="Times New Roman"/>
          <w:sz w:val="24"/>
        </w:rPr>
        <w:id w:val="89604829"/>
        <w:docPartObj>
          <w:docPartGallery w:val="Page Numbers (Top of Page)"/>
          <w:docPartUnique/>
        </w:docPartObj>
      </w:sdtPr>
      <w:sdtEndPr/>
      <w:sdtContent>
        <w:r w:rsidRPr="007D79A3">
          <w:rPr>
            <w:rFonts w:ascii="Times New Roman" w:hAnsi="Times New Roman" w:cs="Times New Roman"/>
            <w:sz w:val="24"/>
          </w:rPr>
          <w:fldChar w:fldCharType="begin"/>
        </w:r>
        <w:r w:rsidRPr="007D79A3">
          <w:rPr>
            <w:rFonts w:ascii="Times New Roman" w:hAnsi="Times New Roman" w:cs="Times New Roman"/>
            <w:sz w:val="24"/>
          </w:rPr>
          <w:instrText xml:space="preserve"> PAGE   \* MERGEFORMAT </w:instrText>
        </w:r>
        <w:r w:rsidRPr="007D79A3">
          <w:rPr>
            <w:rFonts w:ascii="Times New Roman" w:hAnsi="Times New Roman" w:cs="Times New Roman"/>
            <w:sz w:val="24"/>
          </w:rPr>
          <w:fldChar w:fldCharType="separate"/>
        </w:r>
        <w:r>
          <w:rPr>
            <w:rFonts w:ascii="Times New Roman" w:hAnsi="Times New Roman" w:cs="Times New Roman"/>
            <w:noProof/>
            <w:sz w:val="24"/>
          </w:rPr>
          <w:t>3</w:t>
        </w:r>
        <w:r w:rsidRPr="007D79A3">
          <w:rPr>
            <w:rFonts w:ascii="Times New Roman" w:hAnsi="Times New Roman" w:cs="Times New Roman"/>
            <w:sz w:val="24"/>
          </w:rPr>
          <w:fldChar w:fldCharType="end"/>
        </w:r>
      </w:sdtContent>
    </w:sdt>
  </w:p>
  <w:p w14:paraId="6BE5515F" w14:textId="77777777" w:rsidR="007D79A3" w:rsidRPr="007D79A3" w:rsidRDefault="007D79A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SzMDYwNDU1NjY1MbNQ0lEKTi0uzszPAykwrAUA9VP/ZSwAAAA="/>
  </w:docVars>
  <w:rsids>
    <w:rsidRoot w:val="009871BA"/>
    <w:rsid w:val="00002C7E"/>
    <w:rsid w:val="0001012F"/>
    <w:rsid w:val="000E58F2"/>
    <w:rsid w:val="00221536"/>
    <w:rsid w:val="00412A3C"/>
    <w:rsid w:val="00427D18"/>
    <w:rsid w:val="00461D50"/>
    <w:rsid w:val="007D4BD7"/>
    <w:rsid w:val="007D79A3"/>
    <w:rsid w:val="0093676D"/>
    <w:rsid w:val="009871BA"/>
    <w:rsid w:val="00F15E08"/>
    <w:rsid w:val="00FB0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833A"/>
  <w15:docId w15:val="{A0B5149D-61D3-4F8A-9470-39DAE8FA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D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A3"/>
  </w:style>
  <w:style w:type="paragraph" w:styleId="Footer">
    <w:name w:val="footer"/>
    <w:basedOn w:val="Normal"/>
    <w:link w:val="FooterChar"/>
    <w:uiPriority w:val="99"/>
    <w:unhideWhenUsed/>
    <w:rsid w:val="007D79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MIT Nerd</cp:lastModifiedBy>
  <cp:revision>2</cp:revision>
  <dcterms:created xsi:type="dcterms:W3CDTF">2020-11-12T23:28:00Z</dcterms:created>
  <dcterms:modified xsi:type="dcterms:W3CDTF">2020-11-12T23:28:00Z</dcterms:modified>
</cp:coreProperties>
</file>